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56C02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5DC8E7F5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480689FB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3E3DD013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656540D1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1FA8C47E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3DB01FFF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519E3AE2">
      <w:pPr>
        <w:autoSpaceDE w:val="0"/>
        <w:autoSpaceDN w:val="0"/>
        <w:spacing w:before="12"/>
        <w:jc w:val="left"/>
        <w:rPr>
          <w:rFonts w:ascii="仿宋" w:hAnsi="仿宋" w:eastAsia="仿宋" w:cs="仿宋"/>
          <w:sz w:val="27"/>
          <w:szCs w:val="32"/>
          <w:lang w:val="zh-CN" w:bidi="zh-CN"/>
        </w:rPr>
      </w:pPr>
    </w:p>
    <w:p w14:paraId="765219BF">
      <w:pPr>
        <w:autoSpaceDE w:val="0"/>
        <w:autoSpaceDN w:val="0"/>
        <w:spacing w:before="37"/>
        <w:ind w:left="1045" w:right="1024"/>
        <w:jc w:val="center"/>
        <w:outlineLvl w:val="1"/>
        <w:rPr>
          <w:rFonts w:ascii="宋体" w:hAnsi="宋体" w:eastAsia="宋体" w:cs="宋体"/>
          <w:b/>
          <w:bCs/>
          <w:sz w:val="44"/>
          <w:szCs w:val="44"/>
          <w:lang w:val="zh-CN" w:bidi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bidi="zh-CN"/>
        </w:rPr>
        <w:t>法律顾问费</w:t>
      </w:r>
      <w:r>
        <w:rPr>
          <w:rFonts w:ascii="宋体" w:hAnsi="宋体" w:eastAsia="宋体" w:cs="宋体"/>
          <w:b/>
          <w:bCs/>
          <w:sz w:val="44"/>
          <w:szCs w:val="44"/>
          <w:lang w:val="zh-CN" w:bidi="zh-CN"/>
        </w:rPr>
        <w:t>项目支出绩效评价报告</w:t>
      </w:r>
    </w:p>
    <w:p w14:paraId="31C4C923">
      <w:pPr>
        <w:autoSpaceDE w:val="0"/>
        <w:autoSpaceDN w:val="0"/>
        <w:jc w:val="left"/>
        <w:rPr>
          <w:rFonts w:ascii="宋体" w:hAnsi="仿宋" w:eastAsia="仿宋" w:cs="仿宋"/>
          <w:b/>
          <w:sz w:val="44"/>
          <w:szCs w:val="32"/>
          <w:lang w:val="zh-CN" w:bidi="zh-CN"/>
        </w:rPr>
      </w:pPr>
    </w:p>
    <w:p w14:paraId="5A4DA677">
      <w:pPr>
        <w:autoSpaceDE w:val="0"/>
        <w:autoSpaceDN w:val="0"/>
        <w:jc w:val="left"/>
        <w:rPr>
          <w:rFonts w:ascii="宋体" w:hAnsi="仿宋" w:eastAsia="仿宋" w:cs="仿宋"/>
          <w:b/>
          <w:sz w:val="44"/>
          <w:szCs w:val="32"/>
          <w:lang w:val="zh-CN" w:bidi="zh-CN"/>
        </w:rPr>
      </w:pPr>
    </w:p>
    <w:p w14:paraId="2F5FE51F">
      <w:pPr>
        <w:autoSpaceDE w:val="0"/>
        <w:autoSpaceDN w:val="0"/>
        <w:jc w:val="left"/>
        <w:rPr>
          <w:rFonts w:ascii="宋体" w:hAnsi="仿宋" w:eastAsia="仿宋" w:cs="仿宋"/>
          <w:b/>
          <w:sz w:val="44"/>
          <w:szCs w:val="32"/>
          <w:lang w:val="zh-CN" w:bidi="zh-CN"/>
        </w:rPr>
      </w:pPr>
    </w:p>
    <w:p w14:paraId="4F8B976D">
      <w:pPr>
        <w:autoSpaceDE w:val="0"/>
        <w:autoSpaceDN w:val="0"/>
        <w:jc w:val="left"/>
        <w:rPr>
          <w:rFonts w:ascii="宋体" w:hAnsi="仿宋" w:eastAsia="仿宋" w:cs="仿宋"/>
          <w:b/>
          <w:sz w:val="44"/>
          <w:szCs w:val="32"/>
          <w:lang w:val="zh-CN" w:bidi="zh-CN"/>
        </w:rPr>
      </w:pPr>
    </w:p>
    <w:p w14:paraId="576CC42F">
      <w:pPr>
        <w:autoSpaceDE w:val="0"/>
        <w:autoSpaceDN w:val="0"/>
        <w:jc w:val="left"/>
        <w:rPr>
          <w:rFonts w:ascii="宋体" w:hAnsi="仿宋" w:eastAsia="仿宋" w:cs="仿宋"/>
          <w:b/>
          <w:sz w:val="44"/>
          <w:szCs w:val="32"/>
          <w:lang w:val="zh-CN" w:bidi="zh-CN"/>
        </w:rPr>
      </w:pPr>
    </w:p>
    <w:p w14:paraId="539FB546">
      <w:pPr>
        <w:autoSpaceDE w:val="0"/>
        <w:autoSpaceDN w:val="0"/>
        <w:spacing w:before="4"/>
        <w:jc w:val="left"/>
        <w:rPr>
          <w:rFonts w:ascii="宋体" w:hAnsi="仿宋" w:eastAsia="仿宋" w:cs="仿宋"/>
          <w:b/>
          <w:sz w:val="33"/>
          <w:szCs w:val="32"/>
          <w:lang w:val="zh-CN" w:bidi="zh-CN"/>
        </w:rPr>
      </w:pPr>
    </w:p>
    <w:p w14:paraId="51AC380A">
      <w:pPr>
        <w:tabs>
          <w:tab w:val="left" w:pos="6559"/>
        </w:tabs>
        <w:autoSpaceDE w:val="0"/>
        <w:autoSpaceDN w:val="0"/>
        <w:spacing w:line="338" w:lineRule="auto"/>
        <w:ind w:left="1601" w:right="2609"/>
        <w:rPr>
          <w:rFonts w:hint="default" w:ascii="Times New Roman" w:hAnsi="仿宋" w:eastAsia="Times New Roman" w:cs="仿宋"/>
          <w:sz w:val="32"/>
          <w:szCs w:val="32"/>
          <w:u w:val="single"/>
          <w:lang w:val="en-US" w:bidi="zh-CN"/>
        </w:rPr>
      </w:pPr>
      <w:r>
        <w:rPr>
          <w:rFonts w:ascii="仿宋" w:hAnsi="仿宋" w:eastAsia="仿宋" w:cs="仿宋"/>
          <w:sz w:val="32"/>
          <w:szCs w:val="32"/>
          <w:lang w:val="zh-CN" w:bidi="zh-CN"/>
        </w:rPr>
        <w:t>项目名称：</w:t>
      </w:r>
      <w:r>
        <w:rPr>
          <w:rFonts w:ascii="Times New Roman" w:hAnsi="仿宋" w:eastAsia="Times New Roman" w:cs="仿宋"/>
          <w:w w:val="99"/>
          <w:sz w:val="32"/>
          <w:szCs w:val="32"/>
          <w:u w:val="single"/>
          <w:lang w:val="zh-CN" w:bidi="zh-CN"/>
        </w:rPr>
        <w:t xml:space="preserve"> </w:t>
      </w:r>
      <w:r>
        <w:rPr>
          <w:rFonts w:hint="eastAsia" w:ascii="Times New Roman" w:hAnsi="仿宋" w:eastAsia="Times New Roman" w:cs="仿宋"/>
          <w:w w:val="99"/>
          <w:sz w:val="32"/>
          <w:szCs w:val="32"/>
          <w:u w:val="single"/>
          <w:lang w:val="en-US" w:bidi="zh-CN"/>
        </w:rPr>
        <w:t xml:space="preserve">     法律顾问费</w:t>
      </w:r>
      <w:r>
        <w:rPr>
          <w:rFonts w:ascii="Times New Roman" w:hAnsi="仿宋" w:eastAsia="Times New Roman" w:cs="仿宋"/>
          <w:sz w:val="32"/>
          <w:szCs w:val="32"/>
          <w:u w:val="single"/>
          <w:lang w:val="zh-CN" w:bidi="zh-CN"/>
        </w:rPr>
        <w:tab/>
      </w:r>
      <w:r>
        <w:rPr>
          <w:rFonts w:ascii="Times New Roman" w:hAnsi="仿宋" w:eastAsia="Times New Roman" w:cs="仿宋"/>
          <w:sz w:val="32"/>
          <w:szCs w:val="32"/>
          <w:u w:val="single"/>
          <w:lang w:val="zh-CN" w:bidi="zh-CN"/>
        </w:rPr>
        <w:t xml:space="preserve">                     </w:t>
      </w:r>
      <w:r>
        <w:rPr>
          <w:rFonts w:ascii="仿宋" w:hAnsi="仿宋" w:eastAsia="仿宋" w:cs="仿宋"/>
          <w:w w:val="95"/>
          <w:sz w:val="32"/>
          <w:szCs w:val="32"/>
          <w:lang w:val="zh-CN" w:bidi="zh-CN"/>
        </w:rPr>
        <w:t>项目主管部门：</w:t>
      </w:r>
      <w:r>
        <w:rPr>
          <w:rFonts w:hint="eastAsia" w:ascii="仿宋" w:hAnsi="仿宋" w:eastAsia="仿宋" w:cs="仿宋"/>
          <w:w w:val="95"/>
          <w:sz w:val="32"/>
          <w:szCs w:val="32"/>
          <w:lang w:val="en-US" w:bidi="zh-CN"/>
        </w:rPr>
        <w:t xml:space="preserve"> </w:t>
      </w:r>
      <w:r>
        <w:rPr>
          <w:rFonts w:hint="eastAsia" w:ascii="Times New Roman" w:hAnsi="仿宋" w:eastAsia="Times New Roman" w:cs="仿宋"/>
          <w:w w:val="95"/>
          <w:sz w:val="32"/>
          <w:szCs w:val="32"/>
          <w:u w:val="single"/>
          <w:lang w:val="en-US" w:bidi="zh-CN"/>
        </w:rPr>
        <w:t>嘉峪关市档案馆</w:t>
      </w:r>
      <w:r>
        <w:rPr>
          <w:rFonts w:ascii="仿宋" w:hAnsi="仿宋" w:eastAsia="仿宋" w:cs="仿宋"/>
          <w:w w:val="95"/>
          <w:sz w:val="32"/>
          <w:szCs w:val="32"/>
          <w:u w:val="single"/>
          <w:lang w:val="zh-CN" w:bidi="zh-CN"/>
        </w:rPr>
        <w:tab/>
      </w:r>
      <w:r>
        <w:rPr>
          <w:rFonts w:ascii="仿宋" w:hAnsi="仿宋" w:eastAsia="仿宋" w:cs="仿宋"/>
          <w:w w:val="95"/>
          <w:sz w:val="32"/>
          <w:szCs w:val="32"/>
          <w:u w:val="single"/>
          <w:lang w:val="zh-CN" w:bidi="zh-CN"/>
        </w:rPr>
        <w:t xml:space="preserve">                </w:t>
      </w:r>
      <w:r>
        <w:rPr>
          <w:rFonts w:ascii="仿宋" w:hAnsi="仿宋" w:eastAsia="仿宋" w:cs="仿宋"/>
          <w:w w:val="95"/>
          <w:sz w:val="32"/>
          <w:szCs w:val="32"/>
          <w:lang w:val="zh-CN" w:bidi="zh-CN"/>
        </w:rPr>
        <w:t>评价实施部门：</w:t>
      </w:r>
      <w:r>
        <w:rPr>
          <w:rFonts w:hint="eastAsia" w:ascii="仿宋" w:hAnsi="仿宋" w:eastAsia="仿宋" w:cs="仿宋"/>
          <w:w w:val="95"/>
          <w:sz w:val="32"/>
          <w:szCs w:val="32"/>
          <w:lang w:val="en-US" w:bidi="zh-CN"/>
        </w:rPr>
        <w:t xml:space="preserve"> </w:t>
      </w:r>
      <w:r>
        <w:rPr>
          <w:rFonts w:hint="eastAsia" w:ascii="Times New Roman" w:hAnsi="仿宋" w:eastAsia="Times New Roman" w:cs="仿宋"/>
          <w:w w:val="95"/>
          <w:sz w:val="32"/>
          <w:szCs w:val="32"/>
          <w:u w:val="single"/>
          <w:lang w:val="en-US" w:bidi="zh-CN"/>
        </w:rPr>
        <w:t>嘉峪关市档案馆</w:t>
      </w:r>
      <w:r>
        <w:rPr>
          <w:rFonts w:ascii="仿宋" w:hAnsi="仿宋" w:eastAsia="仿宋" w:cs="仿宋"/>
          <w:w w:val="95"/>
          <w:sz w:val="32"/>
          <w:szCs w:val="32"/>
          <w:u w:val="single"/>
          <w:lang w:val="zh-CN" w:bidi="zh-CN"/>
        </w:rPr>
        <w:tab/>
      </w:r>
      <w:r>
        <w:rPr>
          <w:rFonts w:ascii="仿宋" w:hAnsi="仿宋" w:eastAsia="仿宋" w:cs="仿宋"/>
          <w:w w:val="95"/>
          <w:sz w:val="32"/>
          <w:szCs w:val="32"/>
          <w:u w:val="single"/>
          <w:lang w:val="zh-CN" w:bidi="zh-CN"/>
        </w:rPr>
        <w:t xml:space="preserve">                </w:t>
      </w:r>
      <w:r>
        <w:rPr>
          <w:rFonts w:ascii="仿宋" w:hAnsi="仿宋" w:eastAsia="仿宋" w:cs="仿宋"/>
          <w:w w:val="95"/>
          <w:sz w:val="32"/>
          <w:szCs w:val="32"/>
          <w:lang w:val="zh-CN" w:bidi="zh-CN"/>
        </w:rPr>
        <w:t>评价机构名称：</w:t>
      </w:r>
      <w:r>
        <w:rPr>
          <w:rFonts w:hint="eastAsia" w:ascii="仿宋" w:hAnsi="仿宋" w:eastAsia="仿宋" w:cs="仿宋"/>
          <w:w w:val="95"/>
          <w:sz w:val="32"/>
          <w:szCs w:val="32"/>
          <w:u w:val="single"/>
          <w:lang w:val="en-US" w:bidi="zh-CN"/>
        </w:rPr>
        <w:t xml:space="preserve">                   </w:t>
      </w:r>
    </w:p>
    <w:p w14:paraId="0472DC2F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50924D23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75CDE20B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00A10DA7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2EDA2CFA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7DAE0B31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1CBB7592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75797EAB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43653D12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079B09BB">
      <w:pPr>
        <w:autoSpaceDE w:val="0"/>
        <w:autoSpaceDN w:val="0"/>
        <w:spacing w:before="4"/>
        <w:jc w:val="left"/>
        <w:rPr>
          <w:rFonts w:ascii="Times New Roman" w:hAnsi="仿宋" w:eastAsia="仿宋" w:cs="仿宋"/>
          <w:sz w:val="16"/>
          <w:szCs w:val="32"/>
          <w:lang w:val="zh-CN" w:bidi="zh-CN"/>
        </w:rPr>
      </w:pPr>
    </w:p>
    <w:p w14:paraId="6F0DE54A">
      <w:pPr>
        <w:autoSpaceDE w:val="0"/>
        <w:autoSpaceDN w:val="0"/>
        <w:spacing w:before="55"/>
        <w:ind w:left="497" w:right="1024"/>
        <w:jc w:val="center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bidi="zh-CN"/>
        </w:rPr>
        <w:t>2025</w:t>
      </w:r>
      <w:r>
        <w:rPr>
          <w:rFonts w:ascii="仿宋" w:hAnsi="仿宋" w:eastAsia="仿宋" w:cs="仿宋"/>
          <w:sz w:val="32"/>
          <w:szCs w:val="32"/>
          <w:lang w:val="zh-CN" w:bidi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6</w:t>
      </w:r>
      <w:r>
        <w:rPr>
          <w:rFonts w:ascii="仿宋" w:hAnsi="仿宋" w:eastAsia="仿宋" w:cs="仿宋"/>
          <w:sz w:val="32"/>
          <w:szCs w:val="32"/>
          <w:lang w:val="zh-CN" w:bidi="zh-CN"/>
        </w:rPr>
        <w:t>月</w:t>
      </w:r>
    </w:p>
    <w:p w14:paraId="123D206B">
      <w:pPr>
        <w:jc w:val="center"/>
        <w:sectPr>
          <w:footerReference r:id="rId3" w:type="default"/>
          <w:pgSz w:w="11920" w:h="16850"/>
          <w:pgMar w:top="1600" w:right="1380" w:bottom="1340" w:left="1360" w:header="0" w:footer="1157" w:gutter="0"/>
          <w:cols w:space="720" w:num="1"/>
        </w:sectPr>
      </w:pPr>
    </w:p>
    <w:p w14:paraId="02BDBB0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报告摘要</w:t>
      </w:r>
    </w:p>
    <w:p w14:paraId="1F1E344E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17BF989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一、项目基本情况</w:t>
      </w:r>
    </w:p>
    <w:p w14:paraId="401FE436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（一）项目立项背景及实施目的</w:t>
      </w:r>
    </w:p>
    <w:p w14:paraId="1370FF55"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项目预算安排和支出情况</w:t>
      </w:r>
    </w:p>
    <w:p w14:paraId="25351382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（三）项目主要内容和实施情况</w:t>
      </w:r>
    </w:p>
    <w:p w14:paraId="41EEB79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二、项目绩效目标</w:t>
      </w:r>
    </w:p>
    <w:p w14:paraId="73FAE6A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三、评价基本情况</w:t>
      </w:r>
    </w:p>
    <w:p w14:paraId="050D39C3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（一）绩效评价目的、对象和范围。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评价对象和范围为202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法律顾问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费使用和效益情况。</w:t>
      </w:r>
    </w:p>
    <w:p w14:paraId="799CF52F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（二）绩效评价原则、评价指标体系（简要说明）、评价方 法、评价标准等。</w:t>
      </w:r>
    </w:p>
    <w:p w14:paraId="2C845ADC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（三）绩效评价工作过程。</w:t>
      </w:r>
    </w:p>
    <w:p w14:paraId="5FCC48DB">
      <w:pPr>
        <w:spacing w:line="560" w:lineRule="exact"/>
        <w:ind w:firstLine="640" w:firstLineChars="200"/>
        <w:rPr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四、评价结论和绩效分析</w:t>
      </w:r>
    </w:p>
    <w:p w14:paraId="4053EC06">
      <w:pPr>
        <w:spacing w:line="560" w:lineRule="exact"/>
        <w:ind w:firstLine="643" w:firstLineChars="200"/>
        <w:rPr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（一）综合评价结论</w:t>
      </w:r>
    </w:p>
    <w:p w14:paraId="70BF9397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（二）绩效分析</w:t>
      </w:r>
    </w:p>
    <w:p w14:paraId="0F85D96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五、存在问题及原因分析</w:t>
      </w:r>
    </w:p>
    <w:p w14:paraId="2BA1DA9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六、有关建议</w:t>
      </w:r>
    </w:p>
    <w:p w14:paraId="42B9CB3F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789EA5E5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47FE1F7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2BBF899F">
      <w:pPr>
        <w:pStyle w:val="2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008AD4B7">
      <w:pPr>
        <w:pStyle w:val="2"/>
        <w:rPr>
          <w:lang w:val="zh-CN"/>
        </w:rPr>
      </w:pPr>
    </w:p>
    <w:p w14:paraId="01B275A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3207D0D0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7DC038CD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报告正文</w:t>
      </w:r>
    </w:p>
    <w:p w14:paraId="4F0F206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一、项目基本情况</w:t>
      </w:r>
    </w:p>
    <w:p w14:paraId="5A812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（一）项目立项背景。</w:t>
      </w:r>
    </w:p>
    <w:p w14:paraId="46587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为保障一馆两中心项目依法依规建设运营，在建设期及运营期为项目推进提供法律咨询援助，聘请法律顾问一名，为“一馆两中心”项目建设及运营全过程提供法律咨询及法律援助，确保项目建设运营合法合规。</w:t>
      </w:r>
    </w:p>
    <w:p w14:paraId="27512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）项目预算安排及使用情况。</w:t>
      </w:r>
    </w:p>
    <w:p w14:paraId="5D04C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法律顾问费预算安排1万元，合计拨付1万元实际支付1万元，资金到位率100%、到位及时率100%。</w:t>
      </w:r>
    </w:p>
    <w:p w14:paraId="3A16F12B">
      <w:pPr>
        <w:numPr>
          <w:ilvl w:val="0"/>
          <w:numId w:val="1"/>
        </w:numPr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项目计划内容及实施情况。</w:t>
      </w:r>
    </w:p>
    <w:p w14:paraId="233BD4C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服务内容：  </w:t>
      </w:r>
    </w:p>
    <w:p w14:paraId="7128E6B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1、就聘请方经营、管理方面的重大决策提出法律意见，从法律上进行论证，提供法律依据；</w:t>
      </w:r>
    </w:p>
    <w:p w14:paraId="39D0262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2、修改、审查聘请方在经营、管理及对外联系活动中的合同、协议以及其他有关法律事务文书和规章制度；</w:t>
      </w:r>
    </w:p>
    <w:p w14:paraId="727F5B6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3、办理聘请方的非诉讼法律事务；</w:t>
      </w:r>
    </w:p>
    <w:p w14:paraId="229A487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4、代理聘请方参加民事、商事、行政诉讼和仲裁及行政复议；</w:t>
      </w:r>
    </w:p>
    <w:p w14:paraId="1C8F8EC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5、参加经济项目谈判，审查或准备谈判所需的各类法律文件；提供与聘请方活动有关的法律信息；</w:t>
      </w:r>
    </w:p>
    <w:p w14:paraId="5E4A5A8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6、提供与聘请方经营管理有关的法律信息；</w:t>
      </w:r>
    </w:p>
    <w:p w14:paraId="19630A5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7、就聘请方转换经营机制，提高经济效益，加强经营、管理和对外联系中的有关问题，提出法律意见；</w:t>
      </w:r>
    </w:p>
    <w:p w14:paraId="123CE59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8、协助聘请方对干部职工进行法制宣传教育。</w:t>
      </w:r>
    </w:p>
    <w:p w14:paraId="1804A845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项目立项时间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为2024年1月1日，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项目计划完成时间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为2024年12月31日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本年度项目建设及运营合法合规，没有纠纷及诉讼事务发生。</w:t>
      </w:r>
    </w:p>
    <w:p w14:paraId="2B8D44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项目组织管理。</w:t>
      </w:r>
    </w:p>
    <w:p w14:paraId="23FDA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单位为市档案馆，负债签订服务合同，提出法律需求，组织履约评价为办公室具体实施。嘉峪关人合律师事务所指派专职律师履行常年法律顾问职责。依据《聘请律师服务合同》及单位财务制度流程支付资金，全过程均依据制度实施。资金到位率、支付完成率均达到年初计划目标。</w:t>
      </w:r>
    </w:p>
    <w:p w14:paraId="0695B9F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二、项目绩效目标</w:t>
      </w:r>
    </w:p>
    <w:p w14:paraId="7012EC55"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保障“一馆两中心”项目全过程依法依规建设运营，督促建设机构及运营机构履行《嘉峪关市一馆两中心PPP项目合同》。</w:t>
      </w:r>
    </w:p>
    <w:p w14:paraId="2459016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三、评价基本情况</w:t>
      </w:r>
    </w:p>
    <w:p w14:paraId="1E16AE4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（一）评价目的。</w:t>
      </w:r>
    </w:p>
    <w:p w14:paraId="21A6D68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（二）评价对象与范围。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评价对象和范围为202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法律顾问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费使用和效益情况。</w:t>
      </w:r>
    </w:p>
    <w:p w14:paraId="66749D4C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（三）评价依据。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项目支出绩效评价管理办法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规范绩效评价流程、指标设定及结果应用 ，结合“一馆两中心”项目合同内容要求。</w:t>
      </w:r>
    </w:p>
    <w:p w14:paraId="0432956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（四）评价原则、评价方法。</w:t>
      </w:r>
    </w:p>
    <w:p w14:paraId="7E3BBCF0"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客观公正、科学规范、定量为主。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成本效益分析法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对比投入与产出效益；标杆对比法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参照同类档案馆建设标准；问卷调查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建设单位及运营机构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发放问卷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 w14:paraId="7F588D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绩效评价指标体系。</w:t>
      </w:r>
    </w:p>
    <w:p w14:paraId="03855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1.成本指标权重：分值20分，得分20分</w:t>
      </w:r>
    </w:p>
    <w:p w14:paraId="13263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经济成本指标——预算控制数：分值20分，实际得分20分。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聘请专业法律咨询人员提供法律咨询，年度成本1万元整，年度指标1万元，完成支付律师费1万元，完成年度既定目标。</w:t>
      </w:r>
    </w:p>
    <w:p w14:paraId="04497B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产出指标权重：分值40分，得分38.67分</w:t>
      </w:r>
    </w:p>
    <w:p w14:paraId="1AE4E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（1）数量指标——提供法律服务人员：分值13.33分，实际得分13.33分。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年度计划聘请法律顾问1位，实际聘请法律顾问1位。完成年度既定目标。</w:t>
      </w:r>
    </w:p>
    <w:p w14:paraId="6D5D391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质量指标——法律服务投诉率：分值13.33分，实际得分13.33分。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本年度无投诉事件，项目投诉率降低，达到年初既定目标。</w:t>
      </w:r>
    </w:p>
    <w:p w14:paraId="5505FF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时效指标——及时提供法律咨询服务：分值13.34分，实际得分12.01分。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法律顾问咨询时效为2024年度内，针对一馆两中心项目建设及运营问题及时提供法律咨询，无投诉上访事项发生。</w:t>
      </w:r>
    </w:p>
    <w:p w14:paraId="3E79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3.效益指标权重：分值20分，得分18分</w:t>
      </w:r>
    </w:p>
    <w:p w14:paraId="57CD4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（1）经济效益——保障项目程序合法：分值10分，实际得分9分。法律顾问咨询保障项目所有程序合法合规，无违规情况发生，建设经费未受损失。</w:t>
      </w:r>
    </w:p>
    <w:p w14:paraId="41E13AC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社会效益——项目建设运营合规合法性：分值10分，实际得分9分。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截止目前，一馆两中心项目建设及运营符合相关法律规定，有效的法律咨询为项目建设及顺利运营提供保障。</w:t>
      </w:r>
    </w:p>
    <w:p w14:paraId="53639C8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满意度指标权重：分值10分，得分10分。</w:t>
      </w:r>
    </w:p>
    <w:p w14:paraId="34FF6A88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服务对象满意度指标——项目全过程合法合规，顺利有序：建设单位、运营单位对法律咨询工作满意度提升。</w:t>
      </w:r>
    </w:p>
    <w:p w14:paraId="56738D23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（六）评价人员组成。</w:t>
      </w:r>
    </w:p>
    <w:p w14:paraId="3AA85CF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项目负责人：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鱼辉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巿档案馆馆长</w:t>
      </w:r>
    </w:p>
    <w:p w14:paraId="512D425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评价组成员：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李伟民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 xml:space="preserve"> 市档案馆办公室主任</w:t>
      </w:r>
    </w:p>
    <w:p w14:paraId="7A8C25F8">
      <w:pPr>
        <w:spacing w:line="560" w:lineRule="exact"/>
        <w:ind w:firstLine="2560" w:firstLineChars="8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吕建成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 xml:space="preserve"> 市档案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保管利用科负责人</w:t>
      </w:r>
    </w:p>
    <w:p w14:paraId="521A5EA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评价组分工：项目负责人全程参与指导项目各阶段实施</w:t>
      </w:r>
    </w:p>
    <w:p w14:paraId="42D9A8E5">
      <w:pPr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工作，评价组成员相互协助，严格按负责人的指导，认真开</w:t>
      </w:r>
    </w:p>
    <w:p w14:paraId="4C5E4F33">
      <w:pPr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展工作。</w:t>
      </w:r>
    </w:p>
    <w:p w14:paraId="2E25AB75">
      <w:pPr>
        <w:numPr>
          <w:ilvl w:val="0"/>
          <w:numId w:val="6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绩效评价工作过程。</w:t>
      </w:r>
    </w:p>
    <w:p w14:paraId="51BCF21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根据本次项目特点，将评价时间及主要工作进程安排如下：</w:t>
      </w:r>
    </w:p>
    <w:p w14:paraId="09C601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1. 前期准备</w:t>
      </w:r>
    </w:p>
    <w:p w14:paraId="052595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（1）成立评价工作组。</w:t>
      </w:r>
    </w:p>
    <w:p w14:paraId="011D9EF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（2）明确工作要求。</w:t>
      </w:r>
    </w:p>
    <w:p w14:paraId="24036D8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（3）下达项目绩效评价通知书。</w:t>
      </w:r>
    </w:p>
    <w:p w14:paraId="234D1E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 评价实施阶段</w:t>
      </w:r>
    </w:p>
    <w:p w14:paraId="145040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（1）开展前期调研。</w:t>
      </w:r>
    </w:p>
    <w:p w14:paraId="2B01F7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（2）制定评价工作方案和评价指标体系。</w:t>
      </w:r>
    </w:p>
    <w:p w14:paraId="4C39FA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（3）收集和审核基础资料数据核查、了解群众意见。</w:t>
      </w:r>
    </w:p>
    <w:p w14:paraId="4899A50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（4）综合分析评价阶段。</w:t>
      </w:r>
    </w:p>
    <w:p w14:paraId="57A65FE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（5）撰写与提交评价报告。</w:t>
      </w:r>
    </w:p>
    <w:p w14:paraId="1082C53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四、评价结论及分析</w:t>
      </w:r>
    </w:p>
    <w:p w14:paraId="748C8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项目总体绩效评价分值100分，其中成本指标20分，得分20分；产出指标40分；得分38.67；效益指标：20分，得分18分；满意度指标10分，得分10分。综合得分96.67分，整体绩效评价高。资金到位率100%、到位及时率100%，</w:t>
      </w:r>
    </w:p>
    <w:p w14:paraId="04A0C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足额支付率100%、支付及时性100%。全部预算资金严格按照预算科目支出，根据单位相关财务制度合法合规支付，资金支付管理完全符合相关规定。</w:t>
      </w:r>
    </w:p>
    <w:p w14:paraId="7669149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五、绩效评价指标分析</w:t>
      </w:r>
    </w:p>
    <w:p w14:paraId="241B6EB8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（一）项目决策情况。</w:t>
      </w:r>
    </w:p>
    <w:p w14:paraId="1922D7A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项目立项及经费支出均依据馆务会讨论决定。</w:t>
      </w:r>
    </w:p>
    <w:p w14:paraId="1846289F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（二）项目过程情况。</w:t>
      </w:r>
    </w:p>
    <w:p w14:paraId="58264163">
      <w:pPr>
        <w:spacing w:line="56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经费支出均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根据单位相关财务制度合法合规支付，资金支付管理完全符合相关规定。</w:t>
      </w:r>
    </w:p>
    <w:p w14:paraId="6AFFB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（三）项目产出情况。</w:t>
      </w:r>
    </w:p>
    <w:p w14:paraId="7D595814"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聘请法律顾问一名，针对一馆两中心项目建设及运营问题及时提供法律咨询，本年度无投诉上访事项发生。</w:t>
      </w:r>
    </w:p>
    <w:p w14:paraId="4045BF0D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（四）项目效益情况。</w:t>
      </w:r>
    </w:p>
    <w:p w14:paraId="5913851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六、项目主要经验及做法</w:t>
      </w:r>
    </w:p>
    <w:p w14:paraId="0EEC9A6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加强监督检查，对单位资金的使用及配套情况有了进一步的了解，规范了专项资金的使用。</w:t>
      </w:r>
    </w:p>
    <w:p w14:paraId="12B4E999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七、存在的问题及原因分析：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无</w:t>
      </w:r>
    </w:p>
    <w:p w14:paraId="7E35BD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八、有关建议。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  </w:t>
      </w:r>
    </w:p>
    <w:p w14:paraId="1A22394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. 推行线上法律培训：通过移动平台向施工方推送短视频课程，提升覆盖率；  </w:t>
      </w:r>
    </w:p>
    <w:p w14:paraId="781DF40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. 扩展服务评价维度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：增加“法律建议采纳率”“风险预警及时性”等过程指标；  </w:t>
      </w:r>
    </w:p>
    <w:p w14:paraId="2EBB7DE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. 建立知识库沉淀机制：归档典型法律意见书，形成馆内风险防控案例集。主要针对项目存在的问题，着眼于项目的总体目标，从项目政策、预算管理、部门管理、项目管理等多个角度，提出加强和改进管理的意见建议。</w:t>
      </w:r>
    </w:p>
    <w:p w14:paraId="71DC8769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九、需要说明的问题：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无</w:t>
      </w:r>
    </w:p>
    <w:p w14:paraId="76A3DC83">
      <w:pPr>
        <w:pStyle w:val="2"/>
        <w:rPr>
          <w:rFonts w:hint="eastAsia"/>
          <w:lang w:val="en-US" w:eastAsia="zh-CN"/>
        </w:rPr>
      </w:pPr>
    </w:p>
    <w:p w14:paraId="730D5B2F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cs="黑体"/>
          <w:sz w:val="32"/>
          <w:szCs w:val="32"/>
          <w:lang w:val="en-US" w:eastAsia="zh-CN"/>
        </w:rPr>
        <w:t>附件：法律顾问费项目支出绩效评价表</w:t>
      </w:r>
    </w:p>
    <w:p w14:paraId="183D43CC"/>
    <w:p w14:paraId="527BE027">
      <w:pPr>
        <w:pStyle w:val="2"/>
      </w:pPr>
    </w:p>
    <w:p w14:paraId="7DA512BD"/>
    <w:p w14:paraId="0655E0B7">
      <w:pPr>
        <w:pStyle w:val="2"/>
      </w:pPr>
    </w:p>
    <w:p w14:paraId="3E86CDCC"/>
    <w:p w14:paraId="060F8FEB">
      <w:pPr>
        <w:pStyle w:val="2"/>
      </w:pPr>
    </w:p>
    <w:p w14:paraId="58C9B32F"/>
    <w:p w14:paraId="759A998D">
      <w:pPr>
        <w:pStyle w:val="2"/>
      </w:pPr>
    </w:p>
    <w:p w14:paraId="61E49392"/>
    <w:p w14:paraId="1AC99734">
      <w:pPr>
        <w:pStyle w:val="2"/>
      </w:pPr>
    </w:p>
    <w:p w14:paraId="23A6EE2A"/>
    <w:p w14:paraId="51884505">
      <w:pPr>
        <w:pStyle w:val="2"/>
      </w:pPr>
    </w:p>
    <w:p w14:paraId="2581C1A6"/>
    <w:p w14:paraId="6918D487">
      <w:pPr>
        <w:pStyle w:val="2"/>
      </w:pPr>
    </w:p>
    <w:p w14:paraId="20D21CD8"/>
    <w:p w14:paraId="7FE2FA92">
      <w:pPr>
        <w:pStyle w:val="2"/>
      </w:pPr>
    </w:p>
    <w:p w14:paraId="5252D3DF"/>
    <w:p w14:paraId="158CB33F">
      <w:pPr>
        <w:pStyle w:val="2"/>
      </w:pPr>
    </w:p>
    <w:p w14:paraId="3A710059"/>
    <w:p w14:paraId="4FA6B5A5">
      <w:pPr>
        <w:pStyle w:val="2"/>
      </w:pPr>
    </w:p>
    <w:p w14:paraId="2A7B1818"/>
    <w:p w14:paraId="4EA82994">
      <w:pPr>
        <w:pStyle w:val="2"/>
      </w:pPr>
    </w:p>
    <w:p w14:paraId="499AB700"/>
    <w:p w14:paraId="144478B2">
      <w:pPr>
        <w:pStyle w:val="2"/>
      </w:pPr>
    </w:p>
    <w:p w14:paraId="2C543B61"/>
    <w:p w14:paraId="5190E588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33"/>
        <w:gridCol w:w="573"/>
        <w:gridCol w:w="1072"/>
        <w:gridCol w:w="782"/>
        <w:gridCol w:w="2458"/>
        <w:gridCol w:w="700"/>
        <w:gridCol w:w="1168"/>
        <w:gridCol w:w="1582"/>
        <w:gridCol w:w="638"/>
        <w:gridCol w:w="607"/>
        <w:gridCol w:w="1063"/>
        <w:gridCol w:w="595"/>
        <w:gridCol w:w="918"/>
      </w:tblGrid>
      <w:tr w14:paraId="5062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项目支出绩效评价表</w:t>
            </w:r>
          </w:p>
        </w:tc>
      </w:tr>
      <w:tr w14:paraId="012B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6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(2024年度)</w:t>
            </w:r>
          </w:p>
        </w:tc>
      </w:tr>
      <w:tr w14:paraId="56B5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5F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28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5E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法律顾问费</w:t>
            </w:r>
          </w:p>
        </w:tc>
      </w:tr>
      <w:tr w14:paraId="4408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19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3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嘉峪关市档案馆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F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1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7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嘉峪关市档案馆</w:t>
            </w:r>
          </w:p>
        </w:tc>
      </w:tr>
      <w:tr w14:paraId="1578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B944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B07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7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4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执行率</w:t>
            </w:r>
            <w:r>
              <w:rPr>
                <w:rStyle w:val="6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(%)</w:t>
            </w: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7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366D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C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项目资金（万元）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6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11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6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D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3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A25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B23CB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8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11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1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4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6B8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F6497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3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上年结转资金</w:t>
            </w:r>
          </w:p>
        </w:tc>
        <w:tc>
          <w:tcPr>
            <w:tcW w:w="11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9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A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A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5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7B8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1F20A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8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1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C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7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F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5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0E4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A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  <w:tc>
          <w:tcPr>
            <w:tcW w:w="428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631E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AF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2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23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E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19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3697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821D3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保障一馆两中心项目依法依规建设运营</w:t>
            </w:r>
          </w:p>
        </w:tc>
        <w:tc>
          <w:tcPr>
            <w:tcW w:w="19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</w:tr>
      <w:tr w14:paraId="2D9D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443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B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B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7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年度指标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完成率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1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02D3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F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绩效目标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4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2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4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预算控制数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9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=10000元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1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4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D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BE8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08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6C4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提供法律服务人员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=1位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9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1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13.33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8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4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13.33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618A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21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64A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B9BB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1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法律服务的投诉率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2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&lt;=2%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13.33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13.33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67F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58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F878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6EDC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8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及时提供法律咨询服务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2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及时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100%-80%（含）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D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13.31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9CBB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5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12.01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3FA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C4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8B95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8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A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F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保障项目程序合法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A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合法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5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100%-80%（含）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081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A808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5C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E27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059C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5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项目建设运营合规合法性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8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合法合规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100%-80%（含）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E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3162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1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C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A63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31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1B4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3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0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项目全过程合法合规，项目全过程顺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利有序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B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B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E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C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340F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7F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6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1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4962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79E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6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96.67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577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2897E40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D07F0">
    <w:pPr>
      <w:autoSpaceDE w:val="0"/>
      <w:autoSpaceDN w:val="0"/>
      <w:spacing w:line="14" w:lineRule="auto"/>
      <w:jc w:val="left"/>
      <w:rPr>
        <w:rFonts w:ascii="仿宋" w:hAnsi="仿宋" w:eastAsia="仿宋" w:cs="仿宋"/>
        <w:sz w:val="20"/>
        <w:szCs w:val="32"/>
        <w:lang w:val="zh-CN" w:bidi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26F5F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F26F5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ascii="仿宋" w:hAnsi="仿宋" w:eastAsia="仿宋" w:cs="仿宋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9819005</wp:posOffset>
              </wp:positionV>
              <wp:extent cx="141605" cy="1397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1F5D9">
                          <w:pPr>
                            <w:autoSpaceDE w:val="0"/>
                            <w:autoSpaceDN w:val="0"/>
                            <w:spacing w:line="220" w:lineRule="exact"/>
                            <w:ind w:left="20"/>
                            <w:jc w:val="left"/>
                            <w:rPr>
                              <w:rFonts w:ascii="宋体" w:hAnsi="仿宋" w:eastAsia="仿宋" w:cs="仿宋"/>
                              <w:kern w:val="0"/>
                              <w:sz w:val="18"/>
                              <w:lang w:val="zh-CN" w:bidi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25pt;margin-top:773.15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WeU2NoAAAANAQAADwAAAAAAAAABACAAAAAiAAAAZHJzL2Rvd25yZXYueG1sUEsB&#10;AhQAFAAAAAgAh07iQPdvYN+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C1F5D9">
                    <w:pPr>
                      <w:autoSpaceDE w:val="0"/>
                      <w:autoSpaceDN w:val="0"/>
                      <w:spacing w:line="220" w:lineRule="exact"/>
                      <w:ind w:left="20"/>
                      <w:jc w:val="left"/>
                      <w:rPr>
                        <w:rFonts w:ascii="宋体" w:hAnsi="仿宋" w:eastAsia="仿宋" w:cs="仿宋"/>
                        <w:kern w:val="0"/>
                        <w:sz w:val="18"/>
                        <w:lang w:val="zh-CN" w:bidi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303D1"/>
    <w:multiLevelType w:val="singleLevel"/>
    <w:tmpl w:val="8C0303D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E745F23"/>
    <w:multiLevelType w:val="singleLevel"/>
    <w:tmpl w:val="9E745F23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B7AAC9ED"/>
    <w:multiLevelType w:val="singleLevel"/>
    <w:tmpl w:val="B7AAC9E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5D53C52"/>
    <w:multiLevelType w:val="singleLevel"/>
    <w:tmpl w:val="F5D53C52"/>
    <w:lvl w:ilvl="0" w:tentative="0">
      <w:start w:val="2"/>
      <w:numFmt w:val="decimal"/>
      <w:suff w:val="nothing"/>
      <w:lvlText w:val="（%1）"/>
      <w:lvlJc w:val="left"/>
    </w:lvl>
  </w:abstractNum>
  <w:abstractNum w:abstractNumId="4">
    <w:nsid w:val="248F9095"/>
    <w:multiLevelType w:val="singleLevel"/>
    <w:tmpl w:val="248F9095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75CC5369"/>
    <w:multiLevelType w:val="singleLevel"/>
    <w:tmpl w:val="75CC536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B1808"/>
    <w:rsid w:val="095F7C36"/>
    <w:rsid w:val="0F9601D6"/>
    <w:rsid w:val="1204273E"/>
    <w:rsid w:val="14524026"/>
    <w:rsid w:val="1C4A60D6"/>
    <w:rsid w:val="1D591FE5"/>
    <w:rsid w:val="1E69734D"/>
    <w:rsid w:val="2C920367"/>
    <w:rsid w:val="4BBB5ACC"/>
    <w:rsid w:val="5148187E"/>
    <w:rsid w:val="55474BE2"/>
    <w:rsid w:val="5B2F7B88"/>
    <w:rsid w:val="616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01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2564</Words>
  <Characters>2667</Characters>
  <Lines>0</Lines>
  <Paragraphs>0</Paragraphs>
  <TotalTime>9</TotalTime>
  <ScaleCrop>false</ScaleCrop>
  <LinksUpToDate>false</LinksUpToDate>
  <CharactersWithSpaces>2772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2025-05-20T01:24:00Z</dcterms:created>
  <dc:creator>Administrator</dc:creator>
  <cp:lastModifiedBy>user</cp:lastModifiedBy>
  <cp:lastPrinted>2025-06-06T09:48:00Z</cp:lastPrinted>
  <dcterms:modified xsi:type="dcterms:W3CDTF">2025-09-22T09:03:11Z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F0A5CF4D3A804CAA8339670367632996_13</vt:lpwstr>
  </property>
  <property fmtid="{D5CDD505-2E9C-101B-9397-08002B2CF9AE}" pid="4" name="KSOTemplateDocerSaveRecord">
    <vt:lpwstr>eyJoZGlkIjoiYTk0ZTQ4MDMxZTkwYzFlNDhkYmM3OGY3NTU4MTViYWEifQ==</vt:lpwstr>
  </property>
</Properties>
</file>